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7. Realizar la presentación o moderación de eventos institucionales, tanto presenciales como virtuales, según las necesidades del proceso de comunicaciones.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sz w:val="24"/>
          <w:szCs w:val="24"/>
          <w:rtl w:val="0"/>
        </w:rPr>
        <w:t xml:space="preserve">Durante el periodo del 19 de abril al 18 de mayo realice 1 presentación.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22 de abril presentación live Aniversario de Funza.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inline distB="114300" distT="114300" distL="114300" distR="114300">
            <wp:extent cx="5731200" cy="4419600"/>
            <wp:effectExtent b="0" l="0" r="0" t="0"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441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